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ELDERFLOWER AND MOSS #EU35003F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EU35003F_5%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0.88 – 1.75875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2050-08-0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218-080-2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01-2119969444-27</w:t>
            </w:r>
          </w:p>
        </w:tc>
        <w:tc>
          <w:tcPr>
            <w:tcW w:w="1134" w:type="dxa"/>
          </w:tcPr>
          <w:p w:rsidR="00827634" w:rsidRPr="00E158AE" w:rsidP="009B0F88" w14:textId="5180E34A">
            <w:pPr>
              <w:pStyle w:val="SDSTableTextNormal"/>
              <w:rPr>
                <w:noProof w:val="0"/>
              </w:rPr>
            </w:pPr>
            <w:r w:rsidR="00066C34">
              <w:rPr>
                <w:noProof/>
              </w:rPr>
              <w:t>0.135 – 0.265</w:t>
            </w:r>
          </w:p>
        </w:tc>
        <w:tc>
          <w:tcPr>
            <w:tcW w:w="3118" w:type="dxa"/>
          </w:tcPr>
          <w:p w:rsidR="00827634" w:rsidRPr="00E158AE" w:rsidP="009B0F88" w14:textId="7E488380">
            <w:pPr>
              <w:pStyle w:val="SDSTableTextNormal"/>
              <w:rPr>
                <w:noProof w:val="0"/>
              </w:rPr>
            </w:pPr>
            <w:r w:rsidRPr="00E158AE">
              <w:rPr>
                <w:noProof/>
              </w:rPr>
              <w:t>Acute Tox. 4 (Oral), H302</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2-phenoxyethanol</w:t>
            </w:r>
          </w:p>
          <w:p w:rsidR="00827634" w:rsidRPr="00E158AE" w:rsidP="009B0F88" w14:textId="35534033">
            <w:pPr>
              <w:pStyle w:val="SDSTableTextNormal"/>
              <w:rPr>
                <w:noProof w:val="0"/>
              </w:rPr>
            </w:pPr>
            <w:r w:rsidRPr="00E158AE">
              <w:rPr>
                <w:noProof/>
              </w:rPr>
              <w:t>substance with national workplace exposure limit(s) (AT, DE, FI,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122-99-6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204-589-7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603-098-00-9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01-2119488943-21</w:t>
            </w:r>
          </w:p>
        </w:tc>
        <w:tc>
          <w:tcPr>
            <w:tcW w:w="1134" w:type="dxa"/>
          </w:tcPr>
          <w:p w:rsidR="00827634" w:rsidRPr="00E158AE" w:rsidP="009B0F88" w14:textId="5180E34A">
            <w:pPr>
              <w:pStyle w:val="SDSTableTextNormal"/>
              <w:rPr>
                <w:noProof w:val="0"/>
              </w:rPr>
            </w:pPr>
            <w:r w:rsidR="00066C34">
              <w:rPr>
                <w:noProof/>
              </w:rPr>
              <w:t>0.02 – 0.035</w:t>
            </w:r>
          </w:p>
        </w:tc>
        <w:tc>
          <w:tcPr>
            <w:tcW w:w="3118" w:type="dxa"/>
          </w:tcPr>
          <w:p w:rsidR="00827634" w:rsidRPr="00E158AE" w:rsidP="009B0F88" w14:textId="7E488380">
            <w:pPr>
              <w:pStyle w:val="SDSTableTextNormal"/>
              <w:rPr>
                <w:noProof w:val="0"/>
              </w:rPr>
            </w:pPr>
            <w:r w:rsidRPr="00E158AE">
              <w:rPr>
                <w:noProof/>
              </w:rPr>
              <w:t>Acute Tox. 4 (Oral), H302</w:t>
              <w:br/>
              <w:t>STOT SE 3, H335</w:t>
              <w:br/>
              <w:t>Eye Dam. 1, H318</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0.0108495 – 0.021699</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0.0005 – 0.003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 – 0.0025</w:t>
            </w:r>
          </w:p>
        </w:tc>
        <w:tc>
          <w:tcPr>
            <w:tcW w:w="3118" w:type="dxa"/>
          </w:tcPr>
          <w:p w:rsidR="00827634" w:rsidRPr="00E158AE" w:rsidP="009B0F88" w14:textId="7E488380">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2-phenoxyethanol</w:t>
            </w:r>
            <w:r w:rsidRPr="00E158AE">
              <w:rPr>
                <w:noProof w:val="0"/>
              </w:rPr>
              <w:t xml:space="preserve"> </w:t>
            </w:r>
            <w:r w:rsidRPr="00E158AE" w:rsidR="00FD53E4">
              <w:rPr>
                <w:noProof/>
              </w:rPr>
              <w:t>(122-99-6)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5.7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230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110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salicylate (2050-08-0)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4100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2-phenoxyethanol (122-99-6)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1850 mg/kg (Source: EU_CLH)</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1394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 ml/kg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0.057 mg/l (Exposure time: 8 h Source: EU_CLH)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2-phenoxyethanol (122-99-6)</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2-phenoxyethanol (122-99-6)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337 – 352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366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500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ELDERFLOWER AND MOSS #EU35003F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salicylate (2050-08-0)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2-phenoxyethanol (122-99-6)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ELDERFLOWER AND MOSS #EU35003F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salicylate (2050-08-0)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(1170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30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2-phenoxyethanol (122-99-6)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1.107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Amyl salicylate ; citral ; 2-phenoxyethanol ; (R)-p-mentha-1,8-diene; d-limonene ; benzaldehyde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ELDERFLOWER AND MOSS #EU35003F 5% in DPG ; benzyl benzoate ; Amyl salicylate ; Benzyl acetate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ELDERFLOWER AND MOSS #EU35003F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ELDERFLOWER AND MOSS #EU35003F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797229F7-DFEB-4A7B-A50B-00EBA38AFAC2}"/>
</file>

<file path=customXml/itemProps3.xml><?xml version="1.0" encoding="utf-8"?>
<ds:datastoreItem xmlns:ds="http://schemas.openxmlformats.org/officeDocument/2006/customXml" ds:itemID="{D60D54BF-D71E-4653-91DE-2916FA1B9A21}"/>
</file>

<file path=customXml/itemProps4.xml><?xml version="1.0" encoding="utf-8"?>
<ds:datastoreItem xmlns:ds="http://schemas.openxmlformats.org/officeDocument/2006/customXml" ds:itemID="{9D532A07-2672-483F-AD0D-1F54CDE9818F}"/>
</file>

<file path=docProps/app.xml><?xml version="1.0" encoding="utf-8"?>
<Properties xmlns="http://schemas.openxmlformats.org/officeDocument/2006/extended-properties" xmlns:vt="http://schemas.openxmlformats.org/officeDocument/2006/docPropsVTypes">
  <Template>Normal.dotm</Template>
  <TotalTime>12</TotalTime>
  <Pages>17</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