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VANILLA PATCHOULI #EU27553F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EU27553F_5%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1.49 – 2.975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0.19 – 0.375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VANILLA PATCHOULI #EU27553F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VANILLA PATCHOULI #EU27553F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00066C34">
              <w:rPr>
                <w:noProof/>
              </w:rPr>
              <w:t>Hexyl cinnamic 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Bis(2-ethylhexyl) adipate ; Hexyl cinnamic 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VANILLA PATCHOULI #EU27553F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VANILLA PATCHOULI #EU27553F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B02F86C-EE93-4A4B-B4B4-FBFD65B04111}"/>
</file>

<file path=customXml/itemProps3.xml><?xml version="1.0" encoding="utf-8"?>
<ds:datastoreItem xmlns:ds="http://schemas.openxmlformats.org/officeDocument/2006/customXml" ds:itemID="{0DDD5E79-B3AA-435D-9CFD-2E413D0A6F8E}"/>
</file>

<file path=customXml/itemProps4.xml><?xml version="1.0" encoding="utf-8"?>
<ds:datastoreItem xmlns:ds="http://schemas.openxmlformats.org/officeDocument/2006/customXml" ds:itemID="{26F23CBB-A661-435F-B4F1-2A4E8EA71A49}"/>
</file>

<file path=docProps/app.xml><?xml version="1.0" encoding="utf-8"?>
<Properties xmlns="http://schemas.openxmlformats.org/officeDocument/2006/extended-properties" xmlns:vt="http://schemas.openxmlformats.org/officeDocument/2006/docPropsVTypes">
  <Template>Normal.dotm</Template>
  <TotalTime>12</TotalTime>
  <Pages>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