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AMBER NOIR #EU37338F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EU37338F_10%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Iso E Super, COUMARIN, Linalool, Patchouli oil, Allyl ionone, Eucalyptol, Cinnamic alcohol, Cinnamic aldehyde.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Iso E Super</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paraId="15AF5E6F" w14:textId="5180E34A">
            <w:pPr>
              <w:pStyle w:val="SDSTableTextNormal"/>
              <w:rPr>
                <w:noProof w:val="0"/>
              </w:rPr>
            </w:pPr>
            <w:r w:rsidR="00066C34">
              <w:rPr>
                <w:noProof/>
              </w:rPr>
              <w:t>0.35 – 0.7</w:t>
            </w:r>
          </w:p>
        </w:tc>
        <w:tc>
          <w:tcPr>
            <w:tcW w:w="3118" w:type="dxa"/>
          </w:tcPr>
          <w:p w:rsidR="00827634" w:rsidRPr="00E158AE" w:rsidP="009B0F88" w14:paraId="03C690C9"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0.15 – 0.305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0.11 – 0.225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0.07 – 0.135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ionone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79-78-7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201-225-9</w:t>
            </w:r>
          </w:p>
        </w:tc>
        <w:tc>
          <w:tcPr>
            <w:tcW w:w="1134" w:type="dxa"/>
          </w:tcPr>
          <w:p w:rsidR="00827634" w:rsidRPr="00E158AE" w:rsidP="009B0F88" w14:textId="5180E34A">
            <w:pPr>
              <w:pStyle w:val="SDSTableTextNormal"/>
              <w:rPr>
                <w:noProof w:val="0"/>
              </w:rPr>
            </w:pPr>
            <w:r w:rsidR="00066C34">
              <w:rPr>
                <w:noProof/>
              </w:rPr>
              <w:t>0.06 – 0.125</w:t>
            </w:r>
          </w:p>
        </w:tc>
        <w:tc>
          <w:tcPr>
            <w:tcW w:w="3118" w:type="dxa"/>
          </w:tcPr>
          <w:p w:rsidR="00827634" w:rsidRPr="00E158AE" w:rsidP="009B0F88" w14:textId="60F6CE2E">
            <w:pPr>
              <w:pStyle w:val="SDSTableTextNormal"/>
              <w:rPr>
                <w:noProof w:val="0"/>
              </w:rPr>
            </w:pPr>
            <w:r w:rsidRPr="00E158AE">
              <w:rPr>
                <w:noProof/>
              </w:rPr>
              <w:t>Aquatic Chronic 2, H411</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470-82-6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207-431-5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01-2119967772-24</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Flam. Liq. 3, H226</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0.02 – 0.035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Eucalyptol (470-82-6)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2480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Eucalyptol (470-82-6)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95.4 (95.4 – 109) mg/l (Exposure time: 96 h - Species: Pimephales promelas [flow-through])</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AMBER NOIR #EU37338F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AMBER NOIR #EU37338F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Eucalyptol (470-82-6)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Eucalyptol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Iso E Super ; Linalool ; Patchouli oil ; Allyl ionone ; Eucalyptol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AMBER NOIR #EU37338F 10% in DPG ; Iso E Super ; 1,3,4,6,7,8-hexahydro-4,6,6,7,8,8-hexamethylindeno[5,6-c]pyran; galaxolide; (HHCB) ; Patchouli oil ; Allyl ionone ; Benzyl acetate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Eucalyptol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Iso E Super, COUMARIN, Linalool, Patchouli oil, Allyl ionone, Eucalyptol, Cinnamic alcohol, Cinnamic aldehyde.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AMBER NOIR #EU37338F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AMBER NOIR #EU37338F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D7F8DC33-8947-4E62-8F83-A26E47772722}"/>
</file>

<file path=customXml/itemProps3.xml><?xml version="1.0" encoding="utf-8"?>
<ds:datastoreItem xmlns:ds="http://schemas.openxmlformats.org/officeDocument/2006/customXml" ds:itemID="{B4DC15F9-F486-43AC-8D03-93322AD4B502}"/>
</file>

<file path=customXml/itemProps4.xml><?xml version="1.0" encoding="utf-8"?>
<ds:datastoreItem xmlns:ds="http://schemas.openxmlformats.org/officeDocument/2006/customXml" ds:itemID="{E6C05509-4FC7-40DC-B11C-98FFF14996A7}"/>
</file>

<file path=docProps/app.xml><?xml version="1.0" encoding="utf-8"?>
<Properties xmlns="http://schemas.openxmlformats.org/officeDocument/2006/extended-properties" xmlns:vt="http://schemas.openxmlformats.org/officeDocument/2006/docPropsVTypes">
  <Template>Normal.dotm</Template>
  <TotalTime>39</TotalTime>
  <Pages>12</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