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CINNAMON APPLE #EU16008F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EU16008F_5%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(R)-p-mentha-1,8-diene; d-limonene; Cinnamic aldehyde; COUMARIN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1 – 2</w:t>
            </w:r>
          </w:p>
        </w:tc>
        <w:tc>
          <w:tcPr>
            <w:tcW w:w="3118" w:type="dxa"/>
          </w:tcPr>
          <w:p w:rsidR="00827634" w:rsidRPr="00E158AE" w:rsidP="009B0F88" w14:paraId="03C690C9"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0.55 – 1.1</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0.4 – 0.8</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0.215 – 0.43</w:t>
            </w:r>
          </w:p>
        </w:tc>
        <w:tc>
          <w:tcPr>
            <w:tcW w:w="3118" w:type="dxa"/>
          </w:tcPr>
          <w:p w:rsidR="00827634" w:rsidRPr="00E158AE" w:rsidP="009B0F88" w14:textId="7E488380">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4600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CINNAMON APPLE #EU16008F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Verdox (88-41-5)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CINNAMON APPLE #EU16008F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CINNAMON APPLE #EU16008F 5% in DPG ; (R)-p-mentha-1,8-diene; d-limonene ; Cinnamic aldehyde ; benzyl alcohol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(R)-p-mentha-1,8-diene; d-limonene ; Cinnamic aldehyde ; Verdox</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CINNAMON APPLE #EU16008F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CINNAMON APPLE #EU16008F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787DDA6-5B10-4DC1-A0DA-AAA4ED3B569C}"/>
</file>

<file path=customXml/itemProps3.xml><?xml version="1.0" encoding="utf-8"?>
<ds:datastoreItem xmlns:ds="http://schemas.openxmlformats.org/officeDocument/2006/customXml" ds:itemID="{239F5A77-E686-4476-8ED5-C7F24E94323C}"/>
</file>

<file path=customXml/itemProps4.xml><?xml version="1.0" encoding="utf-8"?>
<ds:datastoreItem xmlns:ds="http://schemas.openxmlformats.org/officeDocument/2006/customXml" ds:itemID="{4E2ED31D-0996-4693-85CC-F60264D02758}"/>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